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291</w:t>
      </w:r>
    </w:p>
    <w:p>
      <w:r>
        <w:t>Bundesgericht (BGE), 1985-10-08, FR</w:t>
      </w:r>
    </w:p>
    <w:p>
      <w:r>
        <w:rPr>
          <w:b/>
        </w:rPr>
        <w:t xml:space="preserve">Quelle: </w:t>
      </w:r>
      <w:r>
        <w:t>https://mcp.opencaselaw.ch/entscheid/bge_111 II 291</w:t>
      </w:r>
    </w:p>
    <w:p>
      <w:r>
        <w:t>FR: ATF 111 II 291</w:t>
      </w:r>
    </w:p>
    <w:p>
      <w:r>
        <w:t>IT: DTF 111 II 291</w:t>
      </w:r>
    </w:p>
    <w:p>
      <w:pPr>
        <w:pStyle w:val="Heading2"/>
      </w:pPr>
      <w:r>
        <w:t>Regeste</w:t>
      </w:r>
    </w:p>
    <w:p>
      <w:r>
        <w:t>Regeste Übertragung einer Marke. Schweigt sich der Vertrag darüber aus, so wird vermutet, dass die Übertragung des Unternehmens die Übertragung der Marke miteinschliesst. Im vorliegenden Fall Vermutung bestätigt durch die Gesamtheit der Umstände.</w:t>
      </w:r>
    </w:p>
    <w:p>
      <w:pPr>
        <w:pStyle w:val="Heading2"/>
      </w:pPr>
      <w:r>
        <w:t>Erwägungen</w:t>
      </w:r>
    </w:p>
    <w:p>
      <w:r>
        <w:rPr>
          <w:b/>
        </w:rPr>
        <w:t>E. 2</w:t>
      </w:r>
    </w:p>
    <w:p>
      <w:r>
        <w:t>a) La cour cantonale a, en bref, considéré que, lors du transfert de l'entreprise, le transfert des marques avait été évoqué, sans faire l'objet d'un accord exprès; l'attitude ultérieure des parties permet cependant de retenir que les marques ont effectivement été cédées à la demanderesse; à supposer cependant qu'il n'y ait pas eu de transfert et à défaut de contrat de licence, dame R. serait déchue du droit aux marques litigieuses, faute d'en avoir fait usage pendant plus de trois ans ( art. 9 al. 1 LMF ). b) Comme l'indique à juste titre la cour cantonale, étant donné que la marque n'est pas séparable de l'entreprise ( art. 11 LMF ), on présume, dans le silence du contrat, que le transfert de l'entreprise comprend le transfert de la marque (cf. arrêt non publié K. V. S.A. et cons. du 24 septembre 1982; cf. également DAVID, Markenschutzgesetz, 2e éd., n. 4 ad art. 11; MARTIN-ACHARD, BGE 111 II 291 S. 293 La cession libre de la marque, p. 79; MATTER, Kommentar, n. III 3 ad art. 11, p. 158; TROLLER, Immaterialgüterrecht, I, p. 930). Faute de constatation quant à la volonté interne des parties, leur contrat doit être interprété selon les règles de la bonne foi ( ATF 109 II 329 et les arrêts cités). La manière peu précise dont elles ont évoqué le problème du transfert des marques ne permet pas, en l'occurrence, d'y voir une clause contractuelle aux termes de laquelle elles seraient convenues de réserver à un accord ultérieur le règlement de ce point tenu pour secondaire ( art. 2 CO ); il n'y a donc pas lieu de compléter le contrat en application de l' art. 2 al. 2 CO , mais seulement de l'interpréter. Il ressort de l'ensemble des circonstances que, pour que l'objectif des parties fût atteint, il était nécessaire que les marques Higyne et Higynodor puissent être utilisées par la nouvelle société, puisque celle-ci reprenait la "Fabrique Higyne", qu'elle adoptait comme raison sociale Higyne S.A. et que son but social était notamment "la diffusion des procédés de la marque Higyne et Higynodor". Cette utilisation supposait un transfert de la marque ou, à tout le moins, une licence en autorisant l'usage. Or, du moment que l'entreprise personnelle de la défenderesse cessait d'exister, qu'il n'était prévu aucune limitation dans le temps quant à l'activité de la nouvelle société - en particulier pour l'exploitation des marques - et qu'il ne ressort pas des constatations de l'arrêt cantonal qu'on aurait envisagé un usage quelconque des marques litigieuses par des tiers, on doit raisonnablement comprendre l'accord des parties comme impliquant une autorisation sans limite et définitive d'utiliser les marques litigieuses, soit comme un transfert de celles-ci. Dans l'arrêt susmentionné du 24 septembre 1982, le Tribunal fédéral en a jugé de même, à propos de faits presque semblables. Les éléments invoqués en sens contraire par la recourante n'apparaissent point déterminants. Si les marques ne figuraient pas à l'actif du bilan, avec une estimation pécuniaire, cela peut fort bien s'expliquer par le fait que les parties n'ont pas pensé à lui attribuer une valeur séparée; cela n'empêche toutefois point que l'opération commerciale désirée impliquait le transfert des marques. De même, si les statuts mentionnent que les marques avaient été "déposée(s...) par dame R.", cette mention a trait uniquement à l'inscription, mais n'implique nullement que dame R. aurait dû en rester l'ayant droit. Enfin, si le problème du transfert des marques a seulement été évoqué, sans faire l'objet BGE 111 II 291 S. 294 d'une clause expresse du contrat, au moment du transfert de l'entreprise, cette circonstance peut éventuellement s'expliquer par le fait que la défenderesse devenait administratrice de la nouvelle société et que les formalités d'enregistrement étaient remises à plus tard; une telle circonstance ne saurait cependant faire obstacle à un transfert qu'exigeait le but choisi par les parties. Loin d'être infirmée, la présomption susmentionnée est donc confirmée. Au demeurant, l'attitude ultérieure des parties montre qu'elles ne devaient sans doute pas comprendre le contrat différemment. c) Vu ce qui précède, il n'est point nécessaire d'examiner le bien-fondé de la motivation subsidiaire retenue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